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Признаны утратившими силу отдельные акты Правительства РФ по вопросам предоставления субсидий</w:t>
      </w:r>
      <w:r>
        <w:br/>
      </w:r>
    </w:p>
    <w:p w14:paraId="0A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  <w:r>
        <w:rPr>
          <w:b w:val="0"/>
        </w:rPr>
        <w:t>Среди таких актов в том числе постановления:</w:t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от 08.06.2015 N 566 "Об утверждении Правил предоставления субсидии из федерального бюджета Государственному специализированному Российскому экспортно-импортному банку (акционерное общество) в целях компенсации недополученных доходов по кредитам, выдаваемым в рамках поддержки производства высокотехнологичной продукции";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от 28.03.2019 N 342 "О государственной поддержке акционерного общества "Российский экспортный центр", г. Москва, в целях развития инфраструктуры повышения международной конкурентоспособности".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2026-06-16T14:39:19Z</dcterms:modified>
</cp:coreProperties>
</file>