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С 15 июня 2026 года по 31 декабря 2027 года повышается до 35% ставка ввозной таможенной пошлины на масло пальмовое и его фракции из недружественных государств, за исключением Венгрии и Словакии</w:t>
      </w:r>
      <w:r>
        <w:br/>
      </w:r>
    </w:p>
    <w:p w14:paraId="0A000000">
      <w:pPr>
        <w:widowControl w:val="1"/>
        <w:spacing w:after="0" w:before="168"/>
        <w:ind w:firstLine="0" w:left="0" w:right="0"/>
        <w:jc w:val="both"/>
        <w:rPr>
          <w:b w:val="0"/>
        </w:rPr>
      </w:pPr>
      <w:r>
        <w:br/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4"/>
    <w:link w:val="Style_2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2026-06-16T14:41:18Z</dcterms:modified>
</cp:coreProperties>
</file>