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ППК "Роскадастр" информирует о порядке предоставления сведений, содержащихся в ЕГРН</w:t>
      </w:r>
      <w:r>
        <w:br/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частности, сообщается, что предоставление сведений, в том числе объем таких сведений, регулируется статьями 62 и 63 Федерального закона "О государственной регистрации недвижимости" и нормативными правовыми актами, изданными во исполнение положений указанных статей.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Кроме того, сообщается о выполнении доработки форм услуг "Предоставление сведений об объектах недвижимости и (или) их правообладателях", "Предоставление сведений в виде кадастрового плана территории" и "Запрос посредством доступа к ФГИС ЕГРН" для пользователей с ролью "Кадастровый инженер", в том числе в части реализации требований пункта 65 Порядка предоставления сведений, содержащихся в Едином государственном реестре недвижимости, утвержденного приказом Росреестра от 08.04.2021 N П/0149. Вывод релиза в продуктивный контур ФГИС ЕГРН возможен после проведения интеграционного тестирования с ФГИС ЕГРН. Вывод релиза запланирован на II квартал 2026 года.</w:t>
      </w:r>
    </w:p>
    <w:p w14:paraId="0C000000">
      <w:pPr>
        <w:widowControl w:val="1"/>
        <w:spacing w:after="0" w:line="240" w:lineRule="auto"/>
        <w:ind/>
        <w:jc w:val="center"/>
        <w:rPr>
          <w:b w:val="0"/>
        </w:rPr>
      </w:pPr>
    </w:p>
    <w:p w14:paraId="0D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2026-06-16T14:38:21Z</dcterms:modified>
</cp:coreProperties>
</file>