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rPr>
          <w:b w:val="1"/>
        </w:rPr>
        <w:t>В Госдуму внесен законопроект, определяющий сроки исковой давности по делам о приватизации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Законопроектом статья 217 ГК РФ дополняется положением о том, что в случае применения гражданско-правовых последствий нарушения требований законодательства при приватизации государственного и муниципального имущества подлежат применению установленные ГК РФ сроки исковой давности и правила их исчисления (три года с момента выявления нарушения).</w:t>
      </w:r>
      <w:r>
        <w:br/>
      </w:r>
    </w:p>
    <w:p w14:paraId="0B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При этом планируется закрепить, что срок исковой давности по искам об истребовании имущества, выбывшего из владения РФ, субъектов РФ и муниципальных образований в результате его приватизации, а также по искам о применении иных гражданско-правовых последствий нарушения требований законодательства о приватизации во всяком случае не может превышать десять лет со дня нарушения права.</w:t>
      </w:r>
    </w:p>
    <w:p w14:paraId="0C000000">
      <w:pPr>
        <w:widowControl w:val="1"/>
        <w:spacing w:after="0" w:line="240" w:lineRule="auto"/>
        <w:ind/>
        <w:jc w:val="center"/>
        <w:rPr>
          <w:b w:val="0"/>
        </w:rPr>
      </w:pPr>
    </w:p>
    <w:p w14:paraId="0D000000">
      <w:pPr>
        <w:widowControl w:val="1"/>
        <w:spacing w:after="0" w:line="240" w:lineRule="auto"/>
        <w:ind/>
        <w:jc w:val="center"/>
        <w:rPr>
          <w:b w:val="0"/>
        </w:rPr>
      </w:pP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5" w:type="paragraph">
    <w:name w:val="Balloon Text"/>
    <w:basedOn w:val="Style_4"/>
    <w:link w:val="Style_2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4_ch"/>
    <w:link w:val="Style_25"/>
    <w:rPr>
      <w:rFonts w:ascii="Tahoma" w:hAnsi="Tahoma"/>
      <w:sz w:val="16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2026-05-14T10:01:48Z</dcterms:modified>
</cp:coreProperties>
</file>